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6" w:rsidRDefault="004F6BF6" w:rsidP="004F6BF6">
      <w:pPr>
        <w:pStyle w:val="a4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 </w:t>
      </w:r>
      <w:hyperlink r:id="rId5" w:history="1">
        <w:r>
          <w:rPr>
            <w:rStyle w:val="a3"/>
            <w:rFonts w:ascii="PTSansRegular" w:hAnsi="PTSansRegular"/>
            <w:b/>
            <w:bCs/>
            <w:spacing w:val="2"/>
          </w:rPr>
          <w:t>Проект Федерального закона N 217278-7 "О внесении изменения в Трудовой кодекс Российской Федерации" (О внесении изменений в Трудовой кодекс Российской Федерации) (текст ко второму чтению)</w:t>
        </w:r>
      </w:hyperlink>
    </w:p>
    <w:p w:rsidR="004F6BF6" w:rsidRDefault="004F6BF6" w:rsidP="004F6BF6">
      <w:pPr>
        <w:pStyle w:val="a4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Трудовой кодекс РФ предлагается дополнить статьей 262.2, предусматривающей,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4F6BF6" w:rsidRDefault="004F6BF6" w:rsidP="004F6BF6">
      <w:pPr>
        <w:pStyle w:val="a4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 </w:t>
      </w:r>
      <w:hyperlink r:id="rId6" w:history="1">
        <w:r>
          <w:rPr>
            <w:rStyle w:val="a3"/>
            <w:rFonts w:ascii="PTSansRegular" w:hAnsi="PTSansRegular"/>
            <w:b/>
            <w:bCs/>
            <w:spacing w:val="2"/>
          </w:rPr>
          <w:t>"Памятка для граждан о гарантиях бесплатного оказания медицинской помощи" (утв. Минздравом России)</w:t>
        </w:r>
      </w:hyperlink>
    </w:p>
    <w:p w:rsidR="004F6BF6" w:rsidRDefault="004F6BF6" w:rsidP="004F6BF6">
      <w:pPr>
        <w:pStyle w:val="a4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Специально подготовленная памятка содержит, в частности, информацию о том, какие виды медицинской помощи оказываются бесплатно, каковы предельные сроки ожидания медицинской помощи, какие услуги не подлежат оплате за счет личных сре</w:t>
      </w:r>
      <w:proofErr w:type="gramStart"/>
      <w:r>
        <w:rPr>
          <w:rFonts w:ascii="PTSansRegular" w:hAnsi="PTSansRegular"/>
          <w:color w:val="000000"/>
          <w:spacing w:val="2"/>
        </w:rPr>
        <w:t>дств гр</w:t>
      </w:r>
      <w:proofErr w:type="gramEnd"/>
      <w:r>
        <w:rPr>
          <w:rFonts w:ascii="PTSansRegular" w:hAnsi="PTSansRegular"/>
          <w:color w:val="000000"/>
          <w:spacing w:val="2"/>
        </w:rPr>
        <w:t>аждан, куда обращаться по возникающим вопросам при нарушении права на бесплатную медицинскую помощь.</w:t>
      </w:r>
    </w:p>
    <w:p w:rsidR="004F6BF6" w:rsidRDefault="004F6BF6" w:rsidP="004F6BF6">
      <w:pPr>
        <w:pStyle w:val="a4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Также сообщается о праве граждан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F6BF6" w:rsidRDefault="004F6BF6" w:rsidP="004F6BF6">
      <w:pPr>
        <w:pStyle w:val="1"/>
        <w:shd w:val="clear" w:color="auto" w:fill="FFFFFF"/>
        <w:spacing w:before="0" w:after="1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КС РФ: нужно ли предлагать сокращаемому работнику временно свободные должности</w:t>
      </w:r>
    </w:p>
    <w:p w:rsidR="004F6BF6" w:rsidRDefault="004F6BF6" w:rsidP="004F6BF6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s://storage.consultant.ru/ondb/thumbs/201809/u/uvfeilifcormd-ie/hnMsY7GTYSTgbVwax0eRzeypW0hGwRBP8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3" descr="https://storage.consultant.ru/ondb/thumbs/201809/u/uvfeilifcormd-ie/hnMsY7GTYSTgbVwax0eRzeypW0hGwRBP8_size_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В отказном определении Конституционный суд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3"/>
            <w:rFonts w:ascii="Arial" w:hAnsi="Arial" w:cs="Arial"/>
            <w:color w:val="413A61"/>
            <w:sz w:val="20"/>
            <w:szCs w:val="20"/>
            <w:bdr w:val="none" w:sz="0" w:space="0" w:color="auto" w:frame="1"/>
          </w:rPr>
          <w:t>отметил</w:t>
        </w:r>
      </w:hyperlink>
      <w:r>
        <w:rPr>
          <w:rFonts w:ascii="Arial" w:hAnsi="Arial" w:cs="Arial"/>
          <w:color w:val="000000"/>
          <w:sz w:val="20"/>
          <w:szCs w:val="20"/>
        </w:rPr>
        <w:t>: работодатель вправе при сокращении предлагать должности, которые сохранены за отсутствующими работниками.  Раз КС РФ рассматривает приглашение на такие места как право, значит, не считает это обязанностью работодателя.</w:t>
      </w:r>
    </w:p>
    <w:p w:rsidR="004F6BF6" w:rsidRDefault="004F6BF6" w:rsidP="004F6BF6">
      <w:pPr>
        <w:pStyle w:val="a4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Такой же позиции придерживается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"consultantplus://offline/ref=main?base=LAW;n=286287;dst=100056"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413A61"/>
          <w:sz w:val="20"/>
          <w:szCs w:val="20"/>
          <w:bdr w:val="none" w:sz="0" w:space="0" w:color="auto" w:frame="1"/>
        </w:rPr>
        <w:t>Роструд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 Он разбирал пример с должностью сотрудницы, которая ушла в отпуск по беременности и родам. Ведомство указало, что должность не считается вакантной, предлагать ее увольняемым необязательно.</w:t>
      </w:r>
    </w:p>
    <w:p w:rsidR="004F6BF6" w:rsidRDefault="004F6BF6" w:rsidP="004F6BF6">
      <w:pPr>
        <w:pStyle w:val="a4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Аналогичную позицию занимают и многие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a3"/>
            <w:rFonts w:ascii="Arial" w:hAnsi="Arial" w:cs="Arial"/>
            <w:color w:val="413A61"/>
            <w:sz w:val="20"/>
            <w:szCs w:val="20"/>
            <w:bdr w:val="none" w:sz="0" w:space="0" w:color="auto" w:frame="1"/>
          </w:rPr>
          <w:t>суды</w:t>
        </w:r>
      </w:hyperlink>
      <w:r>
        <w:rPr>
          <w:rFonts w:ascii="Arial" w:hAnsi="Arial" w:cs="Arial"/>
          <w:color w:val="000000"/>
          <w:sz w:val="20"/>
          <w:szCs w:val="20"/>
        </w:rPr>
        <w:t>. Если "временная" должность при сокращении не предложена, его все равно признают законным.</w:t>
      </w:r>
    </w:p>
    <w:p w:rsidR="004F6BF6" w:rsidRDefault="004F6BF6" w:rsidP="004F6BF6">
      <w:pPr>
        <w:pStyle w:val="a4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Отметим, ранее в практике встречалась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a3"/>
            <w:rFonts w:ascii="Arial" w:hAnsi="Arial" w:cs="Arial"/>
            <w:color w:val="413A61"/>
            <w:sz w:val="20"/>
            <w:szCs w:val="20"/>
            <w:bdr w:val="none" w:sz="0" w:space="0" w:color="auto" w:frame="1"/>
          </w:rPr>
          <w:t>другая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позиция.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3"/>
            <w:rFonts w:ascii="Arial" w:hAnsi="Arial" w:cs="Arial"/>
            <w:color w:val="413A61"/>
            <w:sz w:val="20"/>
            <w:szCs w:val="20"/>
            <w:bdr w:val="none" w:sz="0" w:space="0" w:color="auto" w:frame="1"/>
          </w:rPr>
          <w:t>ТК РФ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утверждает, что предлагаемая при сокращении должность должна быть постоянной. Значит, работник может занять любое свободное место, в том числе и временное.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942"/>
      </w:tblGrid>
      <w:tr w:rsidR="004F6BF6" w:rsidTr="004F6BF6">
        <w:tc>
          <w:tcPr>
            <w:tcW w:w="0" w:type="auto"/>
            <w:hideMark/>
          </w:tcPr>
          <w:p w:rsidR="004F6BF6" w:rsidRDefault="004F6BF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Документ:</w:t>
            </w:r>
          </w:p>
        </w:tc>
        <w:tc>
          <w:tcPr>
            <w:tcW w:w="0" w:type="auto"/>
            <w:hideMark/>
          </w:tcPr>
          <w:p w:rsidR="004F6BF6" w:rsidRDefault="004F6BF6">
            <w:pPr>
              <w:pStyle w:val="attachmentsitem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hyperlink r:id="rId13" w:history="1">
              <w:r>
                <w:rPr>
                  <w:rStyle w:val="a3"/>
                  <w:color w:val="413A61"/>
                  <w:sz w:val="26"/>
                  <w:szCs w:val="26"/>
                  <w:bdr w:val="none" w:sz="0" w:space="0" w:color="auto" w:frame="1"/>
                </w:rPr>
                <w:t>Определение КС РФ от 17.07.2018 N 1894-О</w:t>
              </w:r>
            </w:hyperlink>
          </w:p>
        </w:tc>
      </w:tr>
    </w:tbl>
    <w:p w:rsidR="004F6BF6" w:rsidRDefault="004F6BF6" w:rsidP="004F6BF6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PTSansRegular" w:hAnsi="PTSansRegular"/>
          <w:color w:val="000000"/>
          <w:spacing w:val="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Новые правила о пополнении бюджетов доходами от штрафов: проект закона прошел первое чтение</w:t>
      </w:r>
    </w:p>
    <w:p w:rsidR="004F6BF6" w:rsidRDefault="004F6BF6" w:rsidP="004F6BF6">
      <w:pPr>
        <w:shd w:val="clear" w:color="auto" w:fill="FFFFFF"/>
        <w:textAlignment w:val="top"/>
        <w:rPr>
          <w:rFonts w:ascii="Arial" w:hAnsi="Arial" w:cs="Arial"/>
          <w:color w:val="00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s://storage.consultant.ru/ondb/thumbs/201809/n/nssua_lnymhtom0_/L2hYko-4CMA69oeuCRKEBGEIoXaAL0FQ6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" descr="https://storage.consultant.ru/ondb/thumbs/201809/n/nssua_lnymhtom0_/L2hYko-4CMA69oeuCRKEBGEIoXaAL0FQ6_size_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F6" w:rsidRDefault="004F6BF6" w:rsidP="004F6BF6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Госдума приняла в первом чтении законопроект, который позволит однозначно определять, в какой бюджет должны поступать штрафы, установленные федеральными законами (КоАП РФ, УК РФ, НК РФ и др.), законами субъектов и актами муниципалитетов. Будут действовать 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единые правила зачисления доходов</w:t>
      </w:r>
      <w:r>
        <w:rPr>
          <w:rFonts w:ascii="Arial" w:hAnsi="Arial" w:cs="Arial"/>
          <w:color w:val="000000"/>
          <w:sz w:val="20"/>
          <w:szCs w:val="20"/>
        </w:rPr>
        <w:t>: штраф поступает в тот бюджет, из которого финансируется назначивший его орган.</w:t>
      </w:r>
    </w:p>
    <w:p w:rsidR="004F6BF6" w:rsidRDefault="004F6BF6" w:rsidP="004F6BF6">
      <w:pPr>
        <w:pStyle w:val="a4"/>
        <w:shd w:val="clear" w:color="auto" w:fill="FFFFFF"/>
        <w:spacing w:after="31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Однако есть исключения. Например, штрафы мировых судей по КоАП РФ будут направлять в бюджет субъекта и муниципалитета в равных долях. А налоговые штрафы, которые выписывают не по конкретным налогам (например, за непредставление документов), заберут федералы. Сейчас эти выплаты поступают как в федеральный бюджет, так и в муниципалитеты.</w:t>
      </w:r>
    </w:p>
    <w:p w:rsidR="004F6BF6" w:rsidRDefault="004F6BF6" w:rsidP="004F6BF6">
      <w:pPr>
        <w:pStyle w:val="a4"/>
        <w:shd w:val="clear" w:color="auto" w:fill="FFFFFF"/>
        <w:spacing w:after="31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урегулируют вопросы зачисления в бюджеты сумм штрафов, пеней, неустоек по договорам ГПХ и платежей по добровольному возмещению вреда.</w:t>
      </w:r>
    </w:p>
    <w:p w:rsidR="004F6BF6" w:rsidRDefault="004F6BF6" w:rsidP="004F6BF6">
      <w:pPr>
        <w:pStyle w:val="a4"/>
        <w:shd w:val="clear" w:color="auto" w:fill="FFFFFF"/>
        <w:spacing w:after="31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 также призван снизить нагрузку на федералов, поскольку их штрафы будут пополнять федеральный бюджет. Сейчас многие из них уходят в местные бюджеты, и федералам приходится взаимодействовать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финорганами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муниципальных образований.</w:t>
      </w:r>
    </w:p>
    <w:p w:rsidR="004F6BF6" w:rsidRDefault="004F6BF6" w:rsidP="004F6BF6">
      <w:pPr>
        <w:pStyle w:val="a4"/>
        <w:shd w:val="clear" w:color="auto" w:fill="FFFFFF"/>
        <w:spacing w:after="31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Новые правила позволят более точно прогнозировать доходы бюджетов всех уровней, повысить эффективность их администрирования.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197"/>
      </w:tblGrid>
      <w:tr w:rsidR="004F6BF6" w:rsidTr="004F6BF6">
        <w:tc>
          <w:tcPr>
            <w:tcW w:w="0" w:type="auto"/>
            <w:hideMark/>
          </w:tcPr>
          <w:p w:rsidR="004F6BF6" w:rsidRDefault="004F6BF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Документ:</w:t>
            </w:r>
          </w:p>
        </w:tc>
        <w:tc>
          <w:tcPr>
            <w:tcW w:w="0" w:type="auto"/>
            <w:hideMark/>
          </w:tcPr>
          <w:p w:rsidR="004F6BF6" w:rsidRDefault="004F6BF6">
            <w:pPr>
              <w:pStyle w:val="attachmentsitem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hyperlink r:id="rId14" w:history="1">
              <w:r>
                <w:rPr>
                  <w:rStyle w:val="a3"/>
                  <w:color w:val="413A61"/>
                  <w:sz w:val="26"/>
                  <w:szCs w:val="26"/>
                  <w:bdr w:val="none" w:sz="0" w:space="0" w:color="auto" w:frame="1"/>
                </w:rPr>
                <w:t>Проект Федерального закона N 499593-7</w:t>
              </w:r>
            </w:hyperlink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(Принят в первом чтении 12 сентября 2018 года)</w:t>
            </w:r>
          </w:p>
        </w:tc>
      </w:tr>
    </w:tbl>
    <w:p w:rsidR="00FA0C7D" w:rsidRDefault="00FA0C7D">
      <w:bookmarkStart w:id="0" w:name="_GoBack"/>
      <w:bookmarkEnd w:id="0"/>
    </w:p>
    <w:sectPr w:rsidR="00FA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Narrow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6"/>
    <w:rsid w:val="004F6BF6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F6BF6"/>
    <w:pPr>
      <w:spacing w:before="600" w:after="225" w:line="690" w:lineRule="atLeast"/>
      <w:outlineLvl w:val="0"/>
    </w:pPr>
    <w:rPr>
      <w:rFonts w:ascii="PTSansNarrowRegular" w:hAnsi="PTSansNarrowRegular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BF6"/>
    <w:rPr>
      <w:rFonts w:ascii="PTSansNarrowRegular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F6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BF6"/>
    <w:pPr>
      <w:spacing w:after="240" w:line="3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uiPriority w:val="99"/>
    <w:semiHidden/>
    <w:rsid w:val="004F6B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BF6"/>
  </w:style>
  <w:style w:type="character" w:styleId="a5">
    <w:name w:val="Strong"/>
    <w:basedOn w:val="a0"/>
    <w:uiPriority w:val="22"/>
    <w:qFormat/>
    <w:rsid w:val="004F6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F6BF6"/>
    <w:pPr>
      <w:spacing w:before="600" w:after="225" w:line="690" w:lineRule="atLeast"/>
      <w:outlineLvl w:val="0"/>
    </w:pPr>
    <w:rPr>
      <w:rFonts w:ascii="PTSansNarrowRegular" w:hAnsi="PTSansNarrowRegular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BF6"/>
    <w:rPr>
      <w:rFonts w:ascii="PTSansNarrowRegular" w:hAnsi="PTSansNarrowRegular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F6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BF6"/>
    <w:pPr>
      <w:spacing w:after="240" w:line="3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uiPriority w:val="99"/>
    <w:semiHidden/>
    <w:rsid w:val="004F6B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BF6"/>
  </w:style>
  <w:style w:type="character" w:styleId="a5">
    <w:name w:val="Strong"/>
    <w:basedOn w:val="a0"/>
    <w:uiPriority w:val="22"/>
    <w:qFormat/>
    <w:rsid w:val="004F6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4C46.C528BCB0" TargetMode="External"/><Relationship Id="rId13" Type="http://schemas.openxmlformats.org/officeDocument/2006/relationships/hyperlink" Target="consultantplus://offline/ref=main?base=ARB;n=551857;dst=100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main?base=LAW;n=304173;dst=50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6637/" TargetMode="External"/><Relationship Id="rId11" Type="http://schemas.openxmlformats.org/officeDocument/2006/relationships/hyperlink" Target="consultantplus://offline/ref=main?base=SOSZ;n=35780;dst=100039" TargetMode="External"/><Relationship Id="rId5" Type="http://schemas.openxmlformats.org/officeDocument/2006/relationships/hyperlink" Target="http://static.consultant.ru/obj/file/doc/fz_140918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PTS;n=2;dst=10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ARB;n=551857;dst=100015" TargetMode="External"/><Relationship Id="rId14" Type="http://schemas.openxmlformats.org/officeDocument/2006/relationships/hyperlink" Target="http://sozd.parliament.gov.ru/bill/49959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Mondi SLPK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Vera (RU, Syktyvkar)</dc:creator>
  <cp:lastModifiedBy>Bender Vera (RU, Syktyvkar)</cp:lastModifiedBy>
  <cp:revision>1</cp:revision>
  <dcterms:created xsi:type="dcterms:W3CDTF">2018-09-17T11:53:00Z</dcterms:created>
  <dcterms:modified xsi:type="dcterms:W3CDTF">2018-09-17T11:54:00Z</dcterms:modified>
</cp:coreProperties>
</file>